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06" w:rsidRPr="00BC79AE" w:rsidRDefault="00C95406" w:rsidP="00C95406">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C95406" w:rsidRPr="00BC79AE" w:rsidTr="002D235C">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C95406" w:rsidRPr="00BC79AE" w:rsidRDefault="00C95406" w:rsidP="002D235C">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C95406" w:rsidRPr="00BC79AE" w:rsidTr="002D235C">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C95406" w:rsidRPr="00BC79AE" w:rsidRDefault="00C95406"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C95406" w:rsidRPr="00BC79AE" w:rsidRDefault="00C95406"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r>
              <w:rPr>
                <w:rFonts w:ascii="Times New Roman" w:hAnsi="Times New Roman" w:cs="Times New Roman"/>
                <w:b/>
                <w:sz w:val="24"/>
                <w:szCs w:val="24"/>
              </w:rPr>
              <w:t>…………………..</w:t>
            </w:r>
          </w:p>
        </w:tc>
      </w:tr>
      <w:tr w:rsidR="00C95406" w:rsidRPr="00BC79AE" w:rsidTr="002D235C">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C95406" w:rsidRPr="00BC79AE" w:rsidRDefault="00C95406"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r>
              <w:rPr>
                <w:rFonts w:ascii="Times New Roman" w:hAnsi="Times New Roman" w:cs="Times New Roman"/>
                <w:b/>
                <w:sz w:val="24"/>
                <w:szCs w:val="24"/>
              </w:rPr>
              <w:t>…</w:t>
            </w:r>
          </w:p>
        </w:tc>
      </w:tr>
      <w:tr w:rsidR="00C95406" w:rsidRPr="00BC79AE" w:rsidTr="002D235C">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C95406" w:rsidRPr="00BC79AE" w:rsidRDefault="00C95406" w:rsidP="002D235C">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C95406" w:rsidRPr="00BC79AE" w:rsidTr="002D235C">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95406" w:rsidRPr="00BC79AE" w:rsidRDefault="00C95406" w:rsidP="002D235C">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1 Konkurencyjny i innowacyjny obszar rybacki i akwakultury.</w:t>
            </w:r>
          </w:p>
        </w:tc>
      </w:tr>
      <w:tr w:rsidR="00C95406" w:rsidRPr="00BC79AE" w:rsidTr="002D235C">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C95406" w:rsidRPr="00BC79AE" w:rsidTr="002D235C">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C95406" w:rsidRPr="00BC79AE" w:rsidTr="002D235C">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95406" w:rsidRPr="00BC79AE" w:rsidRDefault="00C95406" w:rsidP="002D235C">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1.2.2 Wsparcie przetwórstwa i sprzedaży ryb.</w:t>
            </w:r>
          </w:p>
        </w:tc>
      </w:tr>
      <w:tr w:rsidR="00C95406" w:rsidRPr="00BC79AE" w:rsidTr="002D235C">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C95406" w:rsidRPr="00BC79AE" w:rsidRDefault="00C95406" w:rsidP="002D235C">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1.2.3 Wsparcie i różnicowanie działalności gospodarczej na obszarze rybackim</w:t>
            </w:r>
          </w:p>
        </w:tc>
      </w:tr>
      <w:tr w:rsidR="00C95406" w:rsidRPr="00BC79AE" w:rsidTr="002D235C">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C95406" w:rsidRPr="00BC79AE" w:rsidRDefault="00C95406" w:rsidP="002D235C">
            <w:pPr>
              <w:spacing w:after="0" w:line="240" w:lineRule="auto"/>
              <w:rPr>
                <w:rFonts w:ascii="Times New Roman" w:hAnsi="Times New Roman" w:cs="Times New Roman"/>
                <w:sz w:val="20"/>
                <w:szCs w:val="20"/>
              </w:rPr>
            </w:pPr>
          </w:p>
        </w:tc>
      </w:tr>
      <w:tr w:rsidR="00C95406"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C95406" w:rsidRPr="00BC79AE" w:rsidRDefault="00C95406" w:rsidP="002D235C">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95406" w:rsidRPr="00BC79AE" w:rsidRDefault="00C95406"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C95406" w:rsidRPr="00BC79AE" w:rsidRDefault="00C95406"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95406" w:rsidRPr="00BC79AE" w:rsidRDefault="00C95406"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C95406" w:rsidRPr="00BC79AE" w:rsidRDefault="00C95406" w:rsidP="002D235C">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C95406"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C95406" w:rsidRPr="00BC79AE" w:rsidRDefault="00C95406" w:rsidP="00C95406">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C95406" w:rsidRPr="00BC79AE" w:rsidRDefault="00C95406"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t>
            </w:r>
            <w:r w:rsidRPr="00BC79AE">
              <w:rPr>
                <w:rFonts w:ascii="Times New Roman" w:hAnsi="Times New Roman" w:cs="Times New Roman"/>
                <w:sz w:val="20"/>
                <w:szCs w:val="20"/>
              </w:rPr>
              <w:lastRenderedPageBreak/>
              <w:t xml:space="preserve">wysoką jakość przygotowanego wniosku i sprawną realizacje operacji. </w:t>
            </w:r>
          </w:p>
          <w:p w:rsidR="00C95406" w:rsidRPr="00BC79AE" w:rsidRDefault="00C95406"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rPr>
                <w:rFonts w:ascii="Times New Roman" w:hAnsi="Times New Roman" w:cs="Times New Roman"/>
                <w:sz w:val="20"/>
                <w:szCs w:val="20"/>
              </w:rPr>
            </w:pPr>
          </w:p>
        </w:tc>
      </w:tr>
      <w:tr w:rsidR="00C95406"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C95406" w:rsidRPr="00BC79AE" w:rsidRDefault="00C95406" w:rsidP="00C95406">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C95406" w:rsidRPr="00BC79AE" w:rsidRDefault="00C95406" w:rsidP="00C95406">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C95406" w:rsidRPr="00BC79AE" w:rsidRDefault="00C95406" w:rsidP="00C95406">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C95406" w:rsidRPr="00BC79AE" w:rsidRDefault="00C95406" w:rsidP="00C95406">
            <w:pPr>
              <w:numPr>
                <w:ilvl w:val="0"/>
                <w:numId w:val="2"/>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C95406" w:rsidRPr="00BC79AE" w:rsidRDefault="00C95406" w:rsidP="00C95406">
            <w:pPr>
              <w:numPr>
                <w:ilvl w:val="0"/>
                <w:numId w:val="3"/>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rPr>
                <w:rFonts w:ascii="Times New Roman" w:hAnsi="Times New Roman" w:cs="Times New Roman"/>
                <w:sz w:val="20"/>
                <w:szCs w:val="20"/>
              </w:rPr>
            </w:pPr>
          </w:p>
        </w:tc>
      </w:tr>
      <w:tr w:rsidR="00C95406"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C95406" w:rsidRPr="00BC79AE" w:rsidRDefault="00C95406" w:rsidP="00C95406">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C95406" w:rsidRPr="00BC79AE" w:rsidRDefault="00C95406" w:rsidP="002D235C">
            <w:pPr>
              <w:spacing w:after="0" w:line="240" w:lineRule="auto"/>
              <w:rPr>
                <w:rFonts w:ascii="Times New Roman" w:hAnsi="Times New Roman" w:cs="Times New Roman"/>
                <w:sz w:val="20"/>
                <w:szCs w:val="20"/>
              </w:rPr>
            </w:pPr>
          </w:p>
          <w:p w:rsidR="00C95406" w:rsidRPr="00BC79AE" w:rsidRDefault="00C95406" w:rsidP="00C95406">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C95406" w:rsidRPr="00BC79AE" w:rsidRDefault="00C95406" w:rsidP="002D235C">
            <w:pPr>
              <w:pStyle w:val="Akapitzlist"/>
              <w:spacing w:after="0" w:line="240" w:lineRule="auto"/>
              <w:ind w:left="360"/>
              <w:rPr>
                <w:rFonts w:ascii="Times New Roman" w:hAnsi="Times New Roman" w:cs="Times New Roman"/>
                <w:sz w:val="20"/>
                <w:szCs w:val="20"/>
              </w:rPr>
            </w:pPr>
          </w:p>
          <w:p w:rsidR="00C95406" w:rsidRPr="00BC79AE" w:rsidRDefault="00C95406" w:rsidP="00C95406">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gminy </w:t>
            </w:r>
          </w:p>
          <w:p w:rsidR="00C95406" w:rsidRPr="00BC79AE" w:rsidRDefault="00C95406" w:rsidP="002D235C">
            <w:pPr>
              <w:spacing w:after="0" w:line="240" w:lineRule="auto"/>
              <w:rPr>
                <w:rFonts w:ascii="Times New Roman" w:hAnsi="Times New Roman" w:cs="Times New Roman"/>
                <w:sz w:val="20"/>
                <w:szCs w:val="20"/>
              </w:rPr>
            </w:pPr>
          </w:p>
          <w:p w:rsidR="00C95406" w:rsidRPr="00BC79AE" w:rsidRDefault="00C95406" w:rsidP="00C95406">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C95406" w:rsidRPr="00BC79AE" w:rsidRDefault="00C95406" w:rsidP="002D235C">
            <w:pPr>
              <w:pStyle w:val="Akapitzlist"/>
              <w:rPr>
                <w:rFonts w:ascii="Times New Roman" w:hAnsi="Times New Roman" w:cs="Times New Roman"/>
                <w:sz w:val="20"/>
                <w:szCs w:val="20"/>
              </w:rPr>
            </w:pPr>
          </w:p>
          <w:p w:rsidR="00C95406" w:rsidRPr="00BC79AE" w:rsidRDefault="00C95406" w:rsidP="00C95406">
            <w:pPr>
              <w:pStyle w:val="Akapitzlist"/>
              <w:numPr>
                <w:ilvl w:val="0"/>
                <w:numId w:val="3"/>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C95406" w:rsidRPr="00BC79AE" w:rsidRDefault="00C95406" w:rsidP="002D235C">
            <w:pPr>
              <w:spacing w:after="0" w:line="240" w:lineRule="auto"/>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C95406" w:rsidRPr="00BC79AE" w:rsidRDefault="00C95406" w:rsidP="002D235C">
            <w:pPr>
              <w:spacing w:after="0" w:line="240" w:lineRule="auto"/>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C95406" w:rsidRPr="002F10E2" w:rsidRDefault="00C95406"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C95406" w:rsidRPr="002F10E2" w:rsidRDefault="00C95406"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C95406" w:rsidRPr="002F10E2" w:rsidRDefault="00C95406"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t>
            </w:r>
            <w:r w:rsidRPr="002F10E2">
              <w:rPr>
                <w:rFonts w:ascii="Times New Roman" w:hAnsi="Times New Roman" w:cs="Times New Roman"/>
                <w:sz w:val="20"/>
                <w:szCs w:val="20"/>
              </w:rPr>
              <w:lastRenderedPageBreak/>
              <w:t xml:space="preserve">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rPr>
                <w:rFonts w:ascii="Times New Roman" w:hAnsi="Times New Roman" w:cs="Times New Roman"/>
                <w:sz w:val="20"/>
                <w:szCs w:val="20"/>
              </w:rPr>
            </w:pPr>
          </w:p>
        </w:tc>
      </w:tr>
      <w:tr w:rsidR="00C95406"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C95406" w:rsidRPr="00BC79AE" w:rsidRDefault="00C95406" w:rsidP="00C95406">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BC79AE">
              <w:rPr>
                <w:rFonts w:ascii="Times New Roman" w:hAnsi="Times New Roman" w:cs="Times New Roman"/>
                <w:sz w:val="20"/>
                <w:szCs w:val="20"/>
              </w:rPr>
              <w:t>infrastrukturalno</w:t>
            </w:r>
            <w:proofErr w:type="spellEnd"/>
            <w:r w:rsidRPr="00BC79AE">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2F10E2" w:rsidRDefault="00C95406"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C95406" w:rsidRPr="002F10E2" w:rsidRDefault="00C95406"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5406" w:rsidRPr="00396F17" w:rsidRDefault="00C95406" w:rsidP="002D235C">
            <w:pPr>
              <w:spacing w:after="0" w:line="240" w:lineRule="auto"/>
              <w:rPr>
                <w:rFonts w:ascii="Times New Roman" w:hAnsi="Times New Roman" w:cs="Times New Roman"/>
                <w:color w:val="FF0000"/>
                <w:sz w:val="20"/>
                <w:szCs w:val="20"/>
              </w:rPr>
            </w:pPr>
          </w:p>
        </w:tc>
      </w:tr>
      <w:tr w:rsidR="00C95406"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C95406" w:rsidRPr="00BC79AE" w:rsidRDefault="00C95406" w:rsidP="00C95406">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2F10E2" w:rsidRDefault="00C95406"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C95406" w:rsidRPr="002F10E2" w:rsidRDefault="00C95406"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rPr>
                <w:rFonts w:ascii="Times New Roman" w:hAnsi="Times New Roman" w:cs="Times New Roman"/>
                <w:sz w:val="20"/>
                <w:szCs w:val="20"/>
              </w:rPr>
            </w:pPr>
          </w:p>
        </w:tc>
      </w:tr>
      <w:tr w:rsidR="00C95406"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C95406" w:rsidRPr="00BC79AE" w:rsidRDefault="00C95406" w:rsidP="00C95406">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2F10E2" w:rsidRDefault="00C95406" w:rsidP="002D235C">
            <w:pPr>
              <w:spacing w:after="0" w:line="240" w:lineRule="auto"/>
              <w:jc w:val="both"/>
              <w:rPr>
                <w:rFonts w:ascii="Times New Roman" w:hAnsi="Times New Roman" w:cs="Times New Roman"/>
                <w:sz w:val="20"/>
                <w:szCs w:val="20"/>
              </w:rPr>
            </w:pPr>
            <w:r w:rsidRPr="002F10E2">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w:t>
            </w:r>
            <w:r w:rsidRPr="002F10E2">
              <w:rPr>
                <w:rFonts w:ascii="Times New Roman" w:hAnsi="Times New Roman" w:cs="Times New Roman"/>
                <w:sz w:val="20"/>
                <w:szCs w:val="20"/>
              </w:rPr>
              <w:lastRenderedPageBreak/>
              <w:t>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rPr>
                <w:rFonts w:ascii="Times New Roman" w:hAnsi="Times New Roman" w:cs="Times New Roman"/>
                <w:sz w:val="20"/>
                <w:szCs w:val="20"/>
              </w:rPr>
            </w:pPr>
          </w:p>
        </w:tc>
      </w:tr>
      <w:tr w:rsidR="00C95406"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C95406" w:rsidRPr="00BC79AE" w:rsidRDefault="00C95406" w:rsidP="00C95406">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C95406" w:rsidRPr="00BC79AE" w:rsidRDefault="00C95406" w:rsidP="002D235C">
            <w:pPr>
              <w:spacing w:after="0" w:line="240" w:lineRule="auto"/>
              <w:rPr>
                <w:rFonts w:ascii="Times New Roman" w:hAnsi="Times New Roman" w:cs="Times New Roman"/>
                <w:sz w:val="20"/>
                <w:szCs w:val="20"/>
              </w:rPr>
            </w:pPr>
          </w:p>
          <w:p w:rsidR="00C95406" w:rsidRPr="00BC79AE" w:rsidRDefault="00C95406" w:rsidP="00C95406">
            <w:pPr>
              <w:pStyle w:val="Akapitzlist"/>
              <w:numPr>
                <w:ilvl w:val="0"/>
                <w:numId w:val="4"/>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C95406" w:rsidRPr="00BC79AE" w:rsidRDefault="00C95406" w:rsidP="002D235C">
            <w:pPr>
              <w:pStyle w:val="Akapitzlist"/>
              <w:spacing w:after="0" w:line="240" w:lineRule="auto"/>
              <w:ind w:left="357"/>
              <w:rPr>
                <w:rFonts w:ascii="Times New Roman" w:hAnsi="Times New Roman" w:cs="Times New Roman"/>
                <w:sz w:val="20"/>
                <w:szCs w:val="20"/>
              </w:rPr>
            </w:pPr>
          </w:p>
          <w:p w:rsidR="00C95406" w:rsidRPr="00BC79AE" w:rsidRDefault="00C95406" w:rsidP="00C95406">
            <w:pPr>
              <w:pStyle w:val="Akapitzlist"/>
              <w:numPr>
                <w:ilvl w:val="0"/>
                <w:numId w:val="4"/>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C95406" w:rsidRPr="00BC79AE" w:rsidRDefault="00C95406" w:rsidP="002D235C">
            <w:pPr>
              <w:spacing w:after="0" w:line="240" w:lineRule="auto"/>
              <w:rPr>
                <w:rFonts w:ascii="Times New Roman" w:hAnsi="Times New Roman" w:cs="Times New Roman"/>
                <w:sz w:val="20"/>
                <w:szCs w:val="20"/>
              </w:rPr>
            </w:pPr>
          </w:p>
          <w:p w:rsidR="00C95406" w:rsidRPr="00BC79AE" w:rsidRDefault="00C95406" w:rsidP="00C95406">
            <w:pPr>
              <w:pStyle w:val="Akapitzlist"/>
              <w:numPr>
                <w:ilvl w:val="0"/>
                <w:numId w:val="4"/>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jc w:val="center"/>
              <w:rPr>
                <w:rFonts w:ascii="Times New Roman" w:hAnsi="Times New Roman" w:cs="Times New Roman"/>
                <w:strike/>
                <w:sz w:val="20"/>
                <w:szCs w:val="20"/>
              </w:rPr>
            </w:pPr>
          </w:p>
          <w:p w:rsidR="00C95406" w:rsidRPr="00BC79AE" w:rsidRDefault="00C95406" w:rsidP="002D235C">
            <w:pPr>
              <w:spacing w:after="0" w:line="240" w:lineRule="auto"/>
              <w:jc w:val="center"/>
              <w:rPr>
                <w:rFonts w:ascii="Times New Roman" w:hAnsi="Times New Roman" w:cs="Times New Roman"/>
                <w:strike/>
                <w:sz w:val="20"/>
                <w:szCs w:val="20"/>
              </w:rPr>
            </w:pPr>
          </w:p>
          <w:p w:rsidR="00C95406" w:rsidRPr="00BC79AE" w:rsidRDefault="00C95406" w:rsidP="002D235C">
            <w:pPr>
              <w:spacing w:after="0" w:line="240" w:lineRule="auto"/>
              <w:jc w:val="center"/>
              <w:rPr>
                <w:rFonts w:ascii="Times New Roman" w:hAnsi="Times New Roman" w:cs="Times New Roman"/>
                <w:strike/>
                <w:sz w:val="20"/>
                <w:szCs w:val="20"/>
              </w:rPr>
            </w:pPr>
          </w:p>
          <w:p w:rsidR="00C95406" w:rsidRPr="00BC79AE" w:rsidRDefault="00C95406" w:rsidP="002D235C">
            <w:pPr>
              <w:spacing w:after="0" w:line="240" w:lineRule="auto"/>
              <w:jc w:val="center"/>
              <w:rPr>
                <w:rFonts w:ascii="Times New Roman" w:hAnsi="Times New Roman" w:cs="Times New Roman"/>
                <w:strike/>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C95406" w:rsidRPr="00BC79AE" w:rsidRDefault="00C95406" w:rsidP="002D235C">
            <w:pPr>
              <w:spacing w:after="0" w:line="240" w:lineRule="auto"/>
              <w:jc w:val="center"/>
              <w:rPr>
                <w:rFonts w:ascii="Times New Roman" w:hAnsi="Times New Roman" w:cs="Times New Roman"/>
                <w:sz w:val="20"/>
                <w:szCs w:val="20"/>
              </w:rPr>
            </w:pPr>
          </w:p>
          <w:p w:rsidR="00C95406" w:rsidRPr="00BC79AE" w:rsidRDefault="00C95406" w:rsidP="002D235C">
            <w:pPr>
              <w:spacing w:after="0" w:line="240" w:lineRule="auto"/>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w:t>
            </w:r>
            <w:proofErr w:type="spellStart"/>
            <w:r w:rsidRPr="00BC79AE">
              <w:rPr>
                <w:rFonts w:ascii="Times New Roman" w:hAnsi="Times New Roman" w:cs="Times New Roman"/>
                <w:sz w:val="20"/>
                <w:szCs w:val="20"/>
              </w:rPr>
              <w:t>sie</w:t>
            </w:r>
            <w:proofErr w:type="spellEnd"/>
            <w:r w:rsidRPr="00BC79AE">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rPr>
                <w:rFonts w:ascii="Times New Roman" w:hAnsi="Times New Roman" w:cs="Times New Roman"/>
                <w:sz w:val="20"/>
                <w:szCs w:val="20"/>
              </w:rPr>
            </w:pPr>
          </w:p>
        </w:tc>
      </w:tr>
      <w:tr w:rsidR="00C95406" w:rsidRPr="00BC79AE" w:rsidTr="002D235C">
        <w:tc>
          <w:tcPr>
            <w:tcW w:w="535" w:type="dxa"/>
            <w:tcBorders>
              <w:top w:val="single" w:sz="4" w:space="0" w:color="auto"/>
              <w:left w:val="single" w:sz="4" w:space="0" w:color="auto"/>
              <w:bottom w:val="single" w:sz="4" w:space="0" w:color="auto"/>
              <w:right w:val="single" w:sz="4" w:space="0" w:color="auto"/>
            </w:tcBorders>
            <w:shd w:val="clear" w:color="auto" w:fill="D9D9D9"/>
          </w:tcPr>
          <w:p w:rsidR="00C95406" w:rsidRPr="00BC79AE" w:rsidRDefault="00C95406" w:rsidP="00C95406">
            <w:pPr>
              <w:numPr>
                <w:ilvl w:val="0"/>
                <w:numId w:val="1"/>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406" w:rsidRPr="00BC79AE" w:rsidRDefault="00C95406"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C95406" w:rsidRPr="00BC79AE" w:rsidRDefault="00C95406" w:rsidP="002D235C">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rPr>
                <w:rFonts w:ascii="Times New Roman" w:hAnsi="Times New Roman" w:cs="Times New Roman"/>
                <w:sz w:val="20"/>
                <w:szCs w:val="20"/>
              </w:rPr>
            </w:pPr>
          </w:p>
        </w:tc>
      </w:tr>
      <w:tr w:rsidR="00C95406" w:rsidRPr="00BC79AE" w:rsidTr="002D235C">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95406" w:rsidRPr="00BC79AE" w:rsidRDefault="00C95406" w:rsidP="002D235C">
            <w:pPr>
              <w:spacing w:after="0" w:line="240" w:lineRule="auto"/>
              <w:rPr>
                <w:rFonts w:ascii="Times New Roman" w:hAnsi="Times New Roman" w:cs="Times New Roman"/>
              </w:rPr>
            </w:pPr>
            <w:r w:rsidRPr="00BC79A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95406" w:rsidRPr="00BC79AE" w:rsidRDefault="00C95406" w:rsidP="002D235C">
            <w:pPr>
              <w:spacing w:after="0" w:line="240" w:lineRule="auto"/>
              <w:rPr>
                <w:rFonts w:ascii="Times New Roman" w:hAnsi="Times New Roman" w:cs="Times New Roman"/>
              </w:rPr>
            </w:pPr>
            <w:r w:rsidRPr="00BC79AE">
              <w:rPr>
                <w:rFonts w:ascii="Times New Roman" w:hAnsi="Times New Roman" w:cs="Times New Roman"/>
              </w:rPr>
              <w:t>Maksymalna liczba: 2</w:t>
            </w: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5406" w:rsidRPr="00BC79AE" w:rsidRDefault="00C95406" w:rsidP="002D235C">
            <w:pPr>
              <w:spacing w:after="0" w:line="240" w:lineRule="auto"/>
              <w:rPr>
                <w:rFonts w:ascii="Times New Roman" w:hAnsi="Times New Roman" w:cs="Times New Roman"/>
                <w:strike/>
                <w:sz w:val="20"/>
                <w:szCs w:val="20"/>
              </w:rPr>
            </w:pPr>
          </w:p>
        </w:tc>
      </w:tr>
    </w:tbl>
    <w:p w:rsidR="00C95406" w:rsidRPr="00BC79AE" w:rsidRDefault="00C95406" w:rsidP="00C95406">
      <w:pPr>
        <w:jc w:val="both"/>
        <w:rPr>
          <w:rFonts w:ascii="Times New Roman" w:hAnsi="Times New Roman" w:cs="Times New Roman"/>
        </w:rPr>
      </w:pPr>
      <w:r w:rsidRPr="00BC79AE">
        <w:rPr>
          <w:rFonts w:ascii="Times New Roman" w:hAnsi="Times New Roman" w:cs="Times New Roman"/>
        </w:rPr>
        <w:t>Uzasadnienie oceny:</w:t>
      </w:r>
    </w:p>
    <w:p w:rsidR="00C95406" w:rsidRPr="00BC79AE" w:rsidRDefault="00C95406" w:rsidP="00C95406">
      <w:pPr>
        <w:jc w:val="both"/>
        <w:rPr>
          <w:rFonts w:ascii="Times New Roman" w:hAnsi="Times New Roman" w:cs="Times New Roman"/>
        </w:rPr>
      </w:pPr>
      <w:r w:rsidRPr="00BC79AE">
        <w:rPr>
          <w:rFonts w:ascii="Times New Roman" w:hAnsi="Times New Roman" w:cs="Times New Roman"/>
        </w:rPr>
        <w:t>………………………………………………………………………………………………………………………………………………………………………………………………………………………………………………………………………………………………………………………………………</w:t>
      </w:r>
    </w:p>
    <w:p w:rsidR="00C95406" w:rsidRPr="00BC79AE" w:rsidRDefault="00C95406" w:rsidP="00C95406">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C95406" w:rsidRPr="00BC79AE" w:rsidRDefault="00C95406" w:rsidP="00C95406">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95406" w:rsidRPr="00BC79AE" w:rsidRDefault="00C95406" w:rsidP="00C95406">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95406" w:rsidRPr="00BC79AE" w:rsidRDefault="00C95406" w:rsidP="00C95406">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95406" w:rsidRPr="00BC79AE" w:rsidRDefault="00C95406" w:rsidP="00C95406">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95406" w:rsidRPr="00BC79AE" w:rsidRDefault="00C95406" w:rsidP="00C95406">
      <w:pPr>
        <w:jc w:val="both"/>
        <w:rPr>
          <w:rFonts w:ascii="Times New Roman" w:hAnsi="Times New Roman" w:cs="Times New Roman"/>
          <w:sz w:val="20"/>
          <w:szCs w:val="20"/>
        </w:rPr>
      </w:pPr>
      <w:r w:rsidRPr="00BC79AE">
        <w:rPr>
          <w:rFonts w:ascii="Times New Roman" w:hAnsi="Times New Roman" w:cs="Times New Roman"/>
          <w:sz w:val="20"/>
          <w:szCs w:val="20"/>
        </w:rPr>
        <w:lastRenderedPageBreak/>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95406" w:rsidRPr="00BC79AE" w:rsidRDefault="00C95406" w:rsidP="00C95406">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95406" w:rsidRPr="00BC79AE" w:rsidRDefault="00C95406" w:rsidP="00C95406">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C95406" w:rsidRPr="00BC79AE" w:rsidRDefault="00C95406" w:rsidP="00C95406">
      <w:pPr>
        <w:jc w:val="both"/>
        <w:rPr>
          <w:rFonts w:ascii="Times New Roman" w:hAnsi="Times New Roman" w:cs="Times New Roman"/>
          <w:sz w:val="20"/>
          <w:szCs w:val="20"/>
        </w:rPr>
      </w:pPr>
      <w:r w:rsidRPr="00BC79AE">
        <w:rPr>
          <w:rFonts w:ascii="Times New Roman" w:hAnsi="Times New Roman" w:cs="Times New Roman"/>
          <w:sz w:val="20"/>
          <w:szCs w:val="20"/>
        </w:rPr>
        <w:t>................................................................</w:t>
      </w:r>
    </w:p>
    <w:p w:rsidR="002C365B" w:rsidRDefault="002C365B">
      <w:bookmarkStart w:id="0" w:name="_GoBack"/>
      <w:bookmarkEnd w:id="0"/>
    </w:p>
    <w:sectPr w:rsidR="002C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06"/>
    <w:rsid w:val="002C365B"/>
    <w:rsid w:val="00C95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406"/>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95406"/>
    <w:pPr>
      <w:ind w:left="720"/>
      <w:contextualSpacing/>
    </w:pPr>
  </w:style>
  <w:style w:type="character" w:customStyle="1" w:styleId="AkapitzlistZnak">
    <w:name w:val="Akapit z listą Znak"/>
    <w:link w:val="Akapitzlist"/>
    <w:uiPriority w:val="34"/>
    <w:rsid w:val="00C95406"/>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5406"/>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95406"/>
    <w:pPr>
      <w:ind w:left="720"/>
      <w:contextualSpacing/>
    </w:pPr>
  </w:style>
  <w:style w:type="character" w:customStyle="1" w:styleId="AkapitzlistZnak">
    <w:name w:val="Akapit z listą Znak"/>
    <w:link w:val="Akapitzlist"/>
    <w:uiPriority w:val="34"/>
    <w:rsid w:val="00C95406"/>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8259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pppp</dc:creator>
  <cp:lastModifiedBy>pppp</cp:lastModifiedBy>
  <cp:revision>1</cp:revision>
  <dcterms:created xsi:type="dcterms:W3CDTF">2018-06-29T09:42:00Z</dcterms:created>
  <dcterms:modified xsi:type="dcterms:W3CDTF">2018-06-29T09:42:00Z</dcterms:modified>
</cp:coreProperties>
</file>